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10" w:rsidRPr="00D06ED6" w:rsidRDefault="00411E10" w:rsidP="00411E10">
      <w:pPr>
        <w:pStyle w:val="a3"/>
        <w:spacing w:after="0"/>
        <w:contextualSpacing/>
        <w:jc w:val="right"/>
        <w:rPr>
          <w:b/>
          <w:bCs/>
        </w:rPr>
      </w:pPr>
      <w:r w:rsidRPr="00D06ED6">
        <w:rPr>
          <w:b/>
          <w:bCs/>
        </w:rPr>
        <w:t>Приложение 8.</w:t>
      </w:r>
    </w:p>
    <w:p w:rsidR="00411E10" w:rsidRPr="00D06ED6" w:rsidRDefault="00411E10" w:rsidP="00411E10">
      <w:pPr>
        <w:pStyle w:val="a3"/>
        <w:spacing w:after="0"/>
        <w:contextualSpacing/>
        <w:jc w:val="center"/>
        <w:rPr>
          <w:b/>
          <w:bCs/>
        </w:rPr>
      </w:pPr>
    </w:p>
    <w:p w:rsidR="00411E10" w:rsidRPr="00D06ED6" w:rsidRDefault="00411E10" w:rsidP="00411E10">
      <w:pPr>
        <w:pStyle w:val="a3"/>
        <w:spacing w:after="0"/>
        <w:contextualSpacing/>
        <w:jc w:val="center"/>
        <w:rPr>
          <w:b/>
          <w:bCs/>
        </w:rPr>
      </w:pPr>
      <w:r w:rsidRPr="00D06ED6">
        <w:rPr>
          <w:b/>
          <w:bCs/>
        </w:rPr>
        <w:t xml:space="preserve">М.4.1. АННОТАЦИЯ ПРОГРАММЫ </w:t>
      </w:r>
      <w:r w:rsidRPr="00D06ED6">
        <w:rPr>
          <w:rStyle w:val="s3"/>
          <w:b/>
        </w:rPr>
        <w:t xml:space="preserve">ИТОГОВОЙ ГОСУДАРСТВЕННОЙ АТТЕСТАЦИИ </w:t>
      </w:r>
      <w:r w:rsidRPr="00D06ED6">
        <w:rPr>
          <w:rStyle w:val="s10"/>
          <w:b/>
        </w:rPr>
        <w:t>(ГОСУДАРСТВЕННОГО КОМПЛЕКСНОГО МЕЖДИСЦИПЛИНАРНОГО ЭКЗАМЕНА)</w:t>
      </w:r>
    </w:p>
    <w:p w:rsidR="00411E10" w:rsidRPr="00D06ED6" w:rsidRDefault="00411E10" w:rsidP="00411E10">
      <w:pPr>
        <w:pStyle w:val="a5"/>
        <w:spacing w:before="0" w:after="0"/>
        <w:contextualSpacing/>
        <w:jc w:val="center"/>
      </w:pPr>
      <w:r w:rsidRPr="00D06ED6">
        <w:t xml:space="preserve">Автор-составитель: </w:t>
      </w:r>
    </w:p>
    <w:p w:rsidR="00411E10" w:rsidRPr="00D06ED6" w:rsidRDefault="00411E10" w:rsidP="00411E10">
      <w:pPr>
        <w:pStyle w:val="a5"/>
        <w:spacing w:before="0" w:after="0"/>
        <w:contextualSpacing/>
        <w:jc w:val="center"/>
      </w:pPr>
      <w:proofErr w:type="spellStart"/>
      <w:r w:rsidRPr="00D06ED6">
        <w:t>д.ю.н</w:t>
      </w:r>
      <w:proofErr w:type="spellEnd"/>
      <w:r w:rsidRPr="00D06ED6">
        <w:t>., профессор, профессор кафедры гражданского и административного судопроизводства ФГБОУ ВО «РГУП»</w:t>
      </w:r>
    </w:p>
    <w:p w:rsidR="00411E10" w:rsidRDefault="00411E10" w:rsidP="00411E10">
      <w:pPr>
        <w:pStyle w:val="a5"/>
        <w:spacing w:before="0" w:after="0"/>
        <w:contextualSpacing/>
        <w:jc w:val="center"/>
      </w:pPr>
      <w:r w:rsidRPr="00D06ED6">
        <w:t>Д.А.Фурсов</w:t>
      </w:r>
    </w:p>
    <w:p w:rsidR="00411E10" w:rsidRPr="00D06ED6" w:rsidRDefault="00411E10" w:rsidP="00411E10">
      <w:pPr>
        <w:pStyle w:val="a5"/>
        <w:spacing w:before="0" w:after="0"/>
        <w:contextualSpacing/>
        <w:jc w:val="center"/>
      </w:pPr>
      <w:proofErr w:type="spellStart"/>
      <w:r w:rsidRPr="00D06ED6">
        <w:t>д.ю.н</w:t>
      </w:r>
      <w:proofErr w:type="spellEnd"/>
      <w:r w:rsidRPr="00D06ED6">
        <w:t xml:space="preserve">., доцент, профессор кафедры государственно-правовых дисциплин </w:t>
      </w:r>
      <w:proofErr w:type="spellStart"/>
      <w:r w:rsidRPr="00D06ED6">
        <w:t>Рф</w:t>
      </w:r>
      <w:proofErr w:type="spellEnd"/>
      <w:r w:rsidRPr="00D06ED6">
        <w:t xml:space="preserve"> ФГБОУ ВО «РГУП»</w:t>
      </w:r>
    </w:p>
    <w:p w:rsidR="00411E10" w:rsidRPr="00D06ED6" w:rsidRDefault="00411E10" w:rsidP="00411E10">
      <w:pPr>
        <w:pStyle w:val="a5"/>
        <w:spacing w:before="0" w:after="0"/>
        <w:contextualSpacing/>
        <w:jc w:val="center"/>
      </w:pPr>
      <w:r w:rsidRPr="00D06ED6">
        <w:t xml:space="preserve">О.В. </w:t>
      </w:r>
      <w:proofErr w:type="spellStart"/>
      <w:r w:rsidRPr="00D06ED6">
        <w:t>Шмалий</w:t>
      </w:r>
      <w:proofErr w:type="spellEnd"/>
    </w:p>
    <w:tbl>
      <w:tblPr>
        <w:tblW w:w="0" w:type="auto"/>
        <w:jc w:val="center"/>
        <w:tblInd w:w="-572" w:type="dxa"/>
        <w:tblLayout w:type="fixed"/>
        <w:tblCellMar>
          <w:top w:w="15" w:type="dxa"/>
          <w:left w:w="15" w:type="dxa"/>
          <w:bottom w:w="15" w:type="dxa"/>
          <w:right w:w="15" w:type="dxa"/>
        </w:tblCellMar>
        <w:tblLook w:val="0000"/>
      </w:tblPr>
      <w:tblGrid>
        <w:gridCol w:w="2597"/>
        <w:gridCol w:w="7488"/>
      </w:tblGrid>
      <w:tr w:rsidR="00411E10" w:rsidRPr="00411E10" w:rsidTr="00FD01EC">
        <w:trPr>
          <w:jc w:val="center"/>
        </w:trPr>
        <w:tc>
          <w:tcPr>
            <w:tcW w:w="2597" w:type="dxa"/>
            <w:tcBorders>
              <w:top w:val="single" w:sz="4" w:space="0" w:color="000000"/>
              <w:left w:val="single" w:sz="4" w:space="0" w:color="000000"/>
              <w:bottom w:val="single" w:sz="4" w:space="0" w:color="000000"/>
            </w:tcBorders>
            <w:shd w:val="clear" w:color="auto" w:fill="auto"/>
            <w:vAlign w:val="center"/>
          </w:tcPr>
          <w:p w:rsidR="00411E10" w:rsidRPr="00411E10" w:rsidRDefault="00411E10" w:rsidP="00411E10">
            <w:pPr>
              <w:pStyle w:val="p4"/>
              <w:spacing w:before="0" w:after="0"/>
              <w:rPr>
                <w:rStyle w:val="s3"/>
                <w:b/>
              </w:rPr>
            </w:pPr>
            <w:r w:rsidRPr="00411E10">
              <w:rPr>
                <w:rStyle w:val="s3"/>
                <w:b/>
              </w:rPr>
              <w:t>Цель государственного</w:t>
            </w:r>
          </w:p>
          <w:p w:rsidR="00411E10" w:rsidRPr="00411E10" w:rsidRDefault="00411E10" w:rsidP="00411E10">
            <w:pPr>
              <w:pStyle w:val="p4"/>
              <w:spacing w:before="0" w:after="0"/>
              <w:rPr>
                <w:b/>
              </w:rPr>
            </w:pPr>
            <w:r w:rsidRPr="00411E10">
              <w:rPr>
                <w:rStyle w:val="s3"/>
                <w:b/>
              </w:rPr>
              <w:t>экзамена</w:t>
            </w:r>
          </w:p>
        </w:tc>
        <w:tc>
          <w:tcPr>
            <w:tcW w:w="7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 xml:space="preserve">Программа </w:t>
            </w:r>
            <w:r w:rsidRPr="00411E10">
              <w:rPr>
                <w:rStyle w:val="s10"/>
                <w:rFonts w:ascii="Times New Roman" w:hAnsi="Times New Roman" w:cs="Times New Roman"/>
                <w:sz w:val="24"/>
                <w:szCs w:val="24"/>
              </w:rPr>
              <w:t>государственного комплексного междисциплинарного экзамена</w:t>
            </w:r>
            <w:r w:rsidRPr="00411E10">
              <w:rPr>
                <w:rFonts w:ascii="Times New Roman" w:hAnsi="Times New Roman" w:cs="Times New Roman"/>
                <w:sz w:val="24"/>
                <w:szCs w:val="24"/>
              </w:rPr>
              <w:t xml:space="preserve"> имеет целью проверку качества магистерской подготовки, исходя из знаний на проблемном уровне вопросов судопроизводственного характера, а также связанных с применением к спорным правоотношениям норм материального права, формированием единой судебной практики, признанием и приведением в исполнение иностранных судебных решений, судебным контролем за деятельностью внутренних и международных третейских судов, исполнением судебных актов.</w:t>
            </w:r>
          </w:p>
          <w:p w:rsidR="00411E10" w:rsidRPr="00411E10" w:rsidRDefault="00411E10" w:rsidP="00411E10">
            <w:pPr>
              <w:pStyle w:val="p9"/>
              <w:spacing w:before="0" w:after="0"/>
              <w:ind w:left="102" w:right="127"/>
              <w:jc w:val="both"/>
            </w:pPr>
            <w:r w:rsidRPr="00411E10">
              <w:t>На итоговом экзамене в магистратуре выпускник должен показать глубокое знание предмета, умение применять теоретические знания при анализе судебной практики.</w:t>
            </w:r>
          </w:p>
        </w:tc>
      </w:tr>
      <w:tr w:rsidR="00411E10" w:rsidRPr="00411E10" w:rsidTr="00FD01EC">
        <w:trPr>
          <w:jc w:val="center"/>
        </w:trPr>
        <w:tc>
          <w:tcPr>
            <w:tcW w:w="2597" w:type="dxa"/>
            <w:tcBorders>
              <w:top w:val="single" w:sz="4" w:space="0" w:color="000000"/>
              <w:left w:val="single" w:sz="4" w:space="0" w:color="000000"/>
              <w:bottom w:val="single" w:sz="4" w:space="0" w:color="000000"/>
            </w:tcBorders>
            <w:shd w:val="clear" w:color="auto" w:fill="auto"/>
            <w:vAlign w:val="center"/>
          </w:tcPr>
          <w:p w:rsidR="00411E10" w:rsidRPr="00411E10" w:rsidRDefault="00411E10" w:rsidP="00411E10">
            <w:pPr>
              <w:pStyle w:val="p4"/>
              <w:spacing w:before="0" w:after="0"/>
              <w:rPr>
                <w:rStyle w:val="s3"/>
                <w:b/>
              </w:rPr>
            </w:pPr>
            <w:r w:rsidRPr="00411E10">
              <w:rPr>
                <w:rStyle w:val="s3"/>
                <w:b/>
              </w:rPr>
              <w:t>Регламент</w:t>
            </w:r>
          </w:p>
          <w:p w:rsidR="00411E10" w:rsidRPr="00411E10" w:rsidRDefault="00411E10" w:rsidP="00411E10">
            <w:pPr>
              <w:pStyle w:val="p4"/>
              <w:spacing w:before="0" w:after="0"/>
              <w:rPr>
                <w:rStyle w:val="s3"/>
                <w:b/>
              </w:rPr>
            </w:pPr>
            <w:r w:rsidRPr="00411E10">
              <w:rPr>
                <w:rStyle w:val="s3"/>
                <w:b/>
              </w:rPr>
              <w:t>проведения</w:t>
            </w:r>
          </w:p>
          <w:p w:rsidR="00411E10" w:rsidRPr="00411E10" w:rsidRDefault="00411E10" w:rsidP="00411E10">
            <w:pPr>
              <w:pStyle w:val="p4"/>
              <w:spacing w:before="0" w:after="0"/>
              <w:rPr>
                <w:rStyle w:val="s3"/>
                <w:b/>
              </w:rPr>
            </w:pPr>
            <w:r w:rsidRPr="00411E10">
              <w:rPr>
                <w:rStyle w:val="s3"/>
                <w:b/>
              </w:rPr>
              <w:t>государственного</w:t>
            </w:r>
          </w:p>
          <w:p w:rsidR="00411E10" w:rsidRPr="00411E10" w:rsidRDefault="00411E10" w:rsidP="00411E10">
            <w:pPr>
              <w:pStyle w:val="p4"/>
              <w:spacing w:before="0" w:after="0"/>
              <w:rPr>
                <w:b/>
              </w:rPr>
            </w:pPr>
            <w:r w:rsidRPr="00411E10">
              <w:rPr>
                <w:rStyle w:val="s3"/>
                <w:b/>
              </w:rPr>
              <w:t>экзамена</w:t>
            </w:r>
          </w:p>
        </w:tc>
        <w:tc>
          <w:tcPr>
            <w:tcW w:w="7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E10" w:rsidRPr="00411E10" w:rsidRDefault="00411E10" w:rsidP="00411E10">
            <w:pPr>
              <w:pStyle w:val="p3"/>
              <w:spacing w:before="0" w:after="0"/>
              <w:ind w:left="102" w:right="127"/>
              <w:jc w:val="both"/>
              <w:rPr>
                <w:rStyle w:val="s5"/>
              </w:rPr>
            </w:pPr>
            <w:r w:rsidRPr="00411E10">
              <w:rPr>
                <w:rStyle w:val="s5"/>
              </w:rPr>
              <w:t xml:space="preserve">Подготовка к </w:t>
            </w:r>
            <w:r w:rsidRPr="00411E10">
              <w:rPr>
                <w:rStyle w:val="s10"/>
              </w:rPr>
              <w:t>государственному комплексному междисциплинарному экзамену</w:t>
            </w:r>
            <w:r w:rsidRPr="00411E10">
              <w:rPr>
                <w:rStyle w:val="s5"/>
              </w:rPr>
              <w:t xml:space="preserve"> включает:</w:t>
            </w:r>
          </w:p>
          <w:p w:rsidR="00411E10" w:rsidRPr="00411E10" w:rsidRDefault="00411E10" w:rsidP="00411E10">
            <w:pPr>
              <w:pStyle w:val="p3"/>
              <w:spacing w:before="0" w:after="0"/>
              <w:ind w:left="102" w:right="127"/>
              <w:jc w:val="both"/>
              <w:rPr>
                <w:rStyle w:val="s5"/>
              </w:rPr>
            </w:pPr>
            <w:r w:rsidRPr="00411E10">
              <w:rPr>
                <w:rStyle w:val="s5"/>
              </w:rPr>
              <w:t>- обзорные лекции по всей программе государственного экзамена;</w:t>
            </w:r>
          </w:p>
          <w:p w:rsidR="00411E10" w:rsidRPr="00411E10" w:rsidRDefault="00411E10" w:rsidP="00411E10">
            <w:pPr>
              <w:pStyle w:val="p3"/>
              <w:spacing w:before="0" w:after="0"/>
              <w:ind w:left="102" w:right="127"/>
              <w:jc w:val="both"/>
              <w:rPr>
                <w:rStyle w:val="s5"/>
              </w:rPr>
            </w:pPr>
            <w:r w:rsidRPr="00411E10">
              <w:rPr>
                <w:rStyle w:val="s5"/>
              </w:rPr>
              <w:t>- групповые и индивидуальные консультации магистрантам по вопросам, содержащимся в программе государственного экзамена;</w:t>
            </w:r>
          </w:p>
          <w:p w:rsidR="00411E10" w:rsidRPr="00411E10" w:rsidRDefault="00411E10" w:rsidP="00411E10">
            <w:pPr>
              <w:pStyle w:val="p3"/>
              <w:spacing w:before="0" w:after="0"/>
              <w:ind w:left="102" w:right="127"/>
              <w:jc w:val="both"/>
              <w:rPr>
                <w:rStyle w:val="s5"/>
              </w:rPr>
            </w:pPr>
            <w:r w:rsidRPr="00411E10">
              <w:rPr>
                <w:rStyle w:val="s5"/>
              </w:rPr>
              <w:t>- самоподготовку по перечню вопросов, вынесенных на государственный экзамен.</w:t>
            </w:r>
          </w:p>
          <w:p w:rsidR="00411E10" w:rsidRPr="00411E10" w:rsidRDefault="00411E10" w:rsidP="00411E10">
            <w:pPr>
              <w:pStyle w:val="p3"/>
              <w:spacing w:before="0" w:after="0"/>
              <w:ind w:left="102" w:right="127"/>
              <w:jc w:val="both"/>
              <w:rPr>
                <w:rStyle w:val="s5"/>
              </w:rPr>
            </w:pPr>
            <w:r w:rsidRPr="00411E10">
              <w:rPr>
                <w:rStyle w:val="s5"/>
              </w:rPr>
              <w:t>Организация экзамена включает:</w:t>
            </w:r>
          </w:p>
          <w:p w:rsidR="00411E10" w:rsidRPr="00411E10" w:rsidRDefault="00411E10" w:rsidP="00411E10">
            <w:pPr>
              <w:pStyle w:val="p3"/>
              <w:spacing w:before="0" w:after="0"/>
              <w:ind w:left="102" w:right="127"/>
              <w:jc w:val="both"/>
              <w:rPr>
                <w:rStyle w:val="s5"/>
              </w:rPr>
            </w:pPr>
            <w:r w:rsidRPr="00411E10">
              <w:rPr>
                <w:rStyle w:val="s5"/>
              </w:rPr>
              <w:t>- создание государственной комиссии по его проведению;</w:t>
            </w:r>
          </w:p>
          <w:p w:rsidR="00411E10" w:rsidRPr="00411E10" w:rsidRDefault="00411E10" w:rsidP="00411E10">
            <w:pPr>
              <w:pStyle w:val="p3"/>
              <w:spacing w:before="0" w:after="0"/>
              <w:ind w:left="102" w:right="127"/>
              <w:jc w:val="both"/>
              <w:rPr>
                <w:rStyle w:val="s5"/>
              </w:rPr>
            </w:pPr>
            <w:r w:rsidRPr="00411E10">
              <w:rPr>
                <w:rStyle w:val="s5"/>
              </w:rPr>
              <w:t>- определение периода проведения обзорных лекций и консультаций;</w:t>
            </w:r>
          </w:p>
          <w:p w:rsidR="00411E10" w:rsidRPr="00411E10" w:rsidRDefault="00411E10" w:rsidP="00411E10">
            <w:pPr>
              <w:pStyle w:val="p3"/>
              <w:spacing w:before="0" w:after="0"/>
              <w:ind w:left="102" w:right="127"/>
              <w:jc w:val="both"/>
              <w:rPr>
                <w:rStyle w:val="s5"/>
              </w:rPr>
            </w:pPr>
            <w:r w:rsidRPr="00411E10">
              <w:rPr>
                <w:rStyle w:val="s5"/>
              </w:rPr>
              <w:t>- назначение даты и места проведения государственного экзамена;</w:t>
            </w:r>
          </w:p>
          <w:p w:rsidR="00411E10" w:rsidRPr="00411E10" w:rsidRDefault="00411E10" w:rsidP="00411E10">
            <w:pPr>
              <w:pStyle w:val="p3"/>
              <w:spacing w:before="0" w:after="0"/>
              <w:ind w:left="102" w:right="127"/>
              <w:jc w:val="both"/>
              <w:rPr>
                <w:rStyle w:val="s5"/>
              </w:rPr>
            </w:pPr>
            <w:r w:rsidRPr="00411E10">
              <w:rPr>
                <w:rStyle w:val="s5"/>
              </w:rPr>
              <w:t>- подготовку билетов, программ итогового государственного экзамена, создание надлежащих организационных условий для его успешного проведения.</w:t>
            </w:r>
          </w:p>
          <w:p w:rsidR="00411E10" w:rsidRPr="00411E10" w:rsidRDefault="00411E10" w:rsidP="00411E10">
            <w:pPr>
              <w:pStyle w:val="p3"/>
              <w:spacing w:before="0" w:after="0"/>
              <w:ind w:left="102" w:right="127"/>
              <w:jc w:val="both"/>
            </w:pPr>
            <w:r w:rsidRPr="00411E10">
              <w:rPr>
                <w:rStyle w:val="s5"/>
              </w:rPr>
              <w:t xml:space="preserve">Проведение </w:t>
            </w:r>
            <w:r w:rsidRPr="00411E10">
              <w:rPr>
                <w:rStyle w:val="s10"/>
              </w:rPr>
              <w:t>государственного комплексного междисциплинарного экзамена</w:t>
            </w:r>
            <w:r w:rsidRPr="00411E10">
              <w:rPr>
                <w:rStyle w:val="s5"/>
              </w:rPr>
              <w:t xml:space="preserve"> осуществляется в точно установленное время комиссионным способом.</w:t>
            </w:r>
          </w:p>
        </w:tc>
      </w:tr>
      <w:tr w:rsidR="00411E10" w:rsidRPr="00411E10" w:rsidTr="00FD01EC">
        <w:trPr>
          <w:jc w:val="center"/>
        </w:trPr>
        <w:tc>
          <w:tcPr>
            <w:tcW w:w="2597" w:type="dxa"/>
            <w:tcBorders>
              <w:top w:val="single" w:sz="4" w:space="0" w:color="000000"/>
              <w:left w:val="single" w:sz="4" w:space="0" w:color="000000"/>
              <w:bottom w:val="single" w:sz="4" w:space="0" w:color="000000"/>
            </w:tcBorders>
            <w:shd w:val="clear" w:color="auto" w:fill="auto"/>
            <w:vAlign w:val="center"/>
          </w:tcPr>
          <w:p w:rsidR="00411E10" w:rsidRPr="00411E10" w:rsidRDefault="00411E10" w:rsidP="00411E10">
            <w:pPr>
              <w:pStyle w:val="p4"/>
              <w:spacing w:before="0" w:after="0"/>
              <w:rPr>
                <w:rStyle w:val="s3"/>
                <w:b/>
              </w:rPr>
            </w:pPr>
            <w:r w:rsidRPr="00411E10">
              <w:rPr>
                <w:rStyle w:val="s3"/>
                <w:b/>
              </w:rPr>
              <w:t>Содержание</w:t>
            </w:r>
          </w:p>
          <w:p w:rsidR="00411E10" w:rsidRPr="00411E10" w:rsidRDefault="00411E10" w:rsidP="00411E10">
            <w:pPr>
              <w:pStyle w:val="p4"/>
              <w:spacing w:before="0" w:after="0"/>
              <w:rPr>
                <w:rStyle w:val="s3"/>
                <w:b/>
              </w:rPr>
            </w:pPr>
            <w:r w:rsidRPr="00411E10">
              <w:rPr>
                <w:rStyle w:val="s3"/>
                <w:b/>
              </w:rPr>
              <w:t>государственного</w:t>
            </w:r>
          </w:p>
          <w:p w:rsidR="00411E10" w:rsidRPr="00411E10" w:rsidRDefault="00411E10" w:rsidP="00411E10">
            <w:pPr>
              <w:pStyle w:val="p4"/>
              <w:spacing w:before="0" w:after="0"/>
              <w:rPr>
                <w:b/>
              </w:rPr>
            </w:pPr>
            <w:r w:rsidRPr="00411E10">
              <w:rPr>
                <w:rStyle w:val="s3"/>
                <w:b/>
              </w:rPr>
              <w:t>экзамена</w:t>
            </w:r>
          </w:p>
        </w:tc>
        <w:tc>
          <w:tcPr>
            <w:tcW w:w="7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 xml:space="preserve">Программа </w:t>
            </w:r>
            <w:r w:rsidRPr="00411E10">
              <w:rPr>
                <w:rStyle w:val="s10"/>
                <w:rFonts w:ascii="Times New Roman" w:hAnsi="Times New Roman" w:cs="Times New Roman"/>
                <w:sz w:val="24"/>
                <w:szCs w:val="24"/>
              </w:rPr>
              <w:t>государственного комплексного междисциплинарного экзамена</w:t>
            </w:r>
            <w:r w:rsidRPr="00411E10">
              <w:rPr>
                <w:rFonts w:ascii="Times New Roman" w:hAnsi="Times New Roman" w:cs="Times New Roman"/>
                <w:sz w:val="24"/>
                <w:szCs w:val="24"/>
              </w:rPr>
              <w:t xml:space="preserve"> носит комплексный характер с учетом специализации, необходимой для подготовки профессиональных кадров, способных заниматься рассмотрением и разрешением гражданских дел, включая экономические споры.</w:t>
            </w:r>
          </w:p>
          <w:p w:rsidR="00411E10" w:rsidRPr="00411E10" w:rsidRDefault="00411E10" w:rsidP="00411E10">
            <w:pPr>
              <w:pStyle w:val="p24"/>
              <w:spacing w:before="0" w:after="0"/>
              <w:ind w:left="102" w:right="127"/>
              <w:jc w:val="both"/>
            </w:pPr>
            <w:r w:rsidRPr="00411E10">
              <w:t xml:space="preserve">Задания, включенные в программу </w:t>
            </w:r>
            <w:r w:rsidRPr="00411E10">
              <w:rPr>
                <w:rStyle w:val="s10"/>
              </w:rPr>
              <w:t>государственного комплексного междисциплинарного экзамена</w:t>
            </w:r>
            <w:r w:rsidRPr="00411E10">
              <w:t>, основаны на таких отраслях права, как гражданское процессуальное, арбитражное процессуальное, административно-процессуальное, административное, финансовое, гражданское, земельное.</w:t>
            </w:r>
          </w:p>
        </w:tc>
      </w:tr>
      <w:tr w:rsidR="00411E10" w:rsidRPr="00411E10" w:rsidTr="00FD01EC">
        <w:trPr>
          <w:jc w:val="center"/>
        </w:trPr>
        <w:tc>
          <w:tcPr>
            <w:tcW w:w="2597" w:type="dxa"/>
            <w:tcBorders>
              <w:top w:val="single" w:sz="4" w:space="0" w:color="000000"/>
              <w:left w:val="single" w:sz="4" w:space="0" w:color="000000"/>
              <w:bottom w:val="single" w:sz="4" w:space="0" w:color="000000"/>
            </w:tcBorders>
            <w:shd w:val="clear" w:color="auto" w:fill="auto"/>
            <w:vAlign w:val="center"/>
          </w:tcPr>
          <w:p w:rsidR="00411E10" w:rsidRPr="00411E10" w:rsidRDefault="00411E10" w:rsidP="00411E10">
            <w:pPr>
              <w:pStyle w:val="p4"/>
              <w:spacing w:before="0" w:after="0"/>
              <w:rPr>
                <w:rStyle w:val="s3"/>
                <w:b/>
              </w:rPr>
            </w:pPr>
            <w:r w:rsidRPr="00411E10">
              <w:rPr>
                <w:rStyle w:val="s3"/>
                <w:b/>
              </w:rPr>
              <w:t xml:space="preserve">Содержание разделов, </w:t>
            </w:r>
            <w:r w:rsidRPr="00411E10">
              <w:rPr>
                <w:rStyle w:val="s3"/>
                <w:b/>
              </w:rPr>
              <w:lastRenderedPageBreak/>
              <w:t>выносимых на</w:t>
            </w:r>
          </w:p>
          <w:p w:rsidR="00411E10" w:rsidRPr="00411E10" w:rsidRDefault="00411E10" w:rsidP="00411E10">
            <w:pPr>
              <w:pStyle w:val="p4"/>
              <w:spacing w:before="0" w:after="0"/>
              <w:rPr>
                <w:rStyle w:val="s3"/>
                <w:b/>
              </w:rPr>
            </w:pPr>
            <w:r w:rsidRPr="00411E10">
              <w:rPr>
                <w:rStyle w:val="s3"/>
                <w:b/>
              </w:rPr>
              <w:t>экзамен</w:t>
            </w:r>
          </w:p>
          <w:p w:rsidR="00411E10" w:rsidRPr="00411E10" w:rsidRDefault="00411E10" w:rsidP="00411E10">
            <w:pPr>
              <w:pStyle w:val="p4"/>
              <w:spacing w:before="0" w:after="0"/>
              <w:rPr>
                <w:b/>
              </w:rPr>
            </w:pPr>
            <w:r w:rsidRPr="00411E10">
              <w:rPr>
                <w:rStyle w:val="s3"/>
                <w:b/>
              </w:rPr>
              <w:t>дисциплин</w:t>
            </w:r>
          </w:p>
        </w:tc>
        <w:tc>
          <w:tcPr>
            <w:tcW w:w="7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lastRenderedPageBreak/>
              <w:t>Тема 1. Современная судебная реформа.</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lastRenderedPageBreak/>
              <w:t>Тема 2. Принципы отправления правосудия по гражданским делам.</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3. Компетенция судов общей юрисдикции и арбитражных судов.</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4. Общие проблемы гражданской процессуальной формы.</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5. Проблемы судопроизводства по гражданским делам в суде первой инстанции.</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6. Проблемы исковой формы защиты нарушенного права.</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7. Проблемы судебного доказывания.</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8. Судебный порядок защиты права собственности.</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9. Проблемы формирования судебной практики по земельным спорам.</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10. Возникновение обязательств из договора и внедоговорных правоотношений.</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11. Проблемы рассмотрения судами налоговых споров.</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12. Проблемы судопроизводства по делам, возникающим из публичных правоотношений.</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13. Проблемы судопроизводства по делам, связанным с рассмотрением дел об административных правонарушениях.</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14. Проблемы конкурсного судопроизводства.</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15. Проблемы защиты права в третейском (международном и внутреннем) суде.</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16. Рассмотрение дел с участием иностранных лиц. Признание и приведение в исполнение (экзекватура) иностранных судебных решений.</w:t>
            </w:r>
          </w:p>
          <w:p w:rsidR="00411E10" w:rsidRPr="00411E10" w:rsidRDefault="00411E10" w:rsidP="00411E10">
            <w:pPr>
              <w:spacing w:after="0" w:line="240" w:lineRule="auto"/>
              <w:ind w:left="102" w:right="127"/>
              <w:jc w:val="both"/>
              <w:rPr>
                <w:rFonts w:ascii="Times New Roman" w:hAnsi="Times New Roman" w:cs="Times New Roman"/>
                <w:sz w:val="24"/>
                <w:szCs w:val="24"/>
              </w:rPr>
            </w:pPr>
            <w:r w:rsidRPr="00411E10">
              <w:rPr>
                <w:rFonts w:ascii="Times New Roman" w:hAnsi="Times New Roman" w:cs="Times New Roman"/>
                <w:sz w:val="24"/>
                <w:szCs w:val="24"/>
              </w:rPr>
              <w:t>Тема. 17. Принятие судебного решения.</w:t>
            </w:r>
          </w:p>
          <w:p w:rsidR="00411E10" w:rsidRPr="00411E10" w:rsidRDefault="00411E10" w:rsidP="00411E10">
            <w:pPr>
              <w:spacing w:after="0" w:line="240" w:lineRule="auto"/>
              <w:ind w:left="102" w:right="127"/>
              <w:jc w:val="both"/>
              <w:rPr>
                <w:rStyle w:val="s8"/>
                <w:rFonts w:ascii="Times New Roman" w:hAnsi="Times New Roman" w:cs="Times New Roman"/>
                <w:sz w:val="24"/>
                <w:szCs w:val="24"/>
              </w:rPr>
            </w:pPr>
            <w:r w:rsidRPr="00411E10">
              <w:rPr>
                <w:rFonts w:ascii="Times New Roman" w:hAnsi="Times New Roman" w:cs="Times New Roman"/>
                <w:sz w:val="24"/>
                <w:szCs w:val="24"/>
              </w:rPr>
              <w:t>Тема 18. Проблемы деятельности проверочных судебных инстанций.</w:t>
            </w:r>
          </w:p>
          <w:p w:rsidR="00411E10" w:rsidRPr="00411E10" w:rsidRDefault="00411E10" w:rsidP="00411E10">
            <w:pPr>
              <w:pStyle w:val="p31"/>
              <w:spacing w:before="0" w:after="0"/>
              <w:ind w:left="102" w:right="127"/>
              <w:jc w:val="both"/>
              <w:rPr>
                <w:rStyle w:val="s8"/>
              </w:rPr>
            </w:pPr>
            <w:r w:rsidRPr="00411E10">
              <w:rPr>
                <w:rStyle w:val="s8"/>
              </w:rPr>
              <w:t>Тема 19.</w:t>
            </w:r>
            <w:r w:rsidRPr="00411E10">
              <w:rPr>
                <w:rStyle w:val="s8"/>
                <w:rFonts w:ascii="Cambria Math" w:hAnsi="Cambria Math"/>
              </w:rPr>
              <w:t>​</w:t>
            </w:r>
            <w:r w:rsidRPr="00411E10">
              <w:rPr>
                <w:rStyle w:val="s8"/>
              </w:rPr>
              <w:t> </w:t>
            </w:r>
            <w:r w:rsidRPr="00411E10">
              <w:rPr>
                <w:rStyle w:val="s3"/>
              </w:rPr>
              <w:t>Пересмотр гражданских дел по новым и вновь открывшимся обстоятельствам.</w:t>
            </w:r>
          </w:p>
          <w:p w:rsidR="00411E10" w:rsidRPr="00411E10" w:rsidRDefault="00411E10" w:rsidP="00411E10">
            <w:pPr>
              <w:pStyle w:val="p31"/>
              <w:spacing w:before="0" w:after="0"/>
              <w:ind w:left="102" w:right="127"/>
              <w:jc w:val="both"/>
            </w:pPr>
            <w:r w:rsidRPr="00411E10">
              <w:rPr>
                <w:rStyle w:val="s8"/>
              </w:rPr>
              <w:t>Тема 20. </w:t>
            </w:r>
            <w:r w:rsidRPr="00411E10">
              <w:rPr>
                <w:rStyle w:val="s3"/>
              </w:rPr>
              <w:t>Общая характеристика и основные проблемы исполнительного производства.</w:t>
            </w:r>
          </w:p>
        </w:tc>
      </w:tr>
    </w:tbl>
    <w:p w:rsidR="004E0C9A" w:rsidRDefault="004E0C9A"/>
    <w:sectPr w:rsidR="004E0C9A" w:rsidSect="00411E1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characterSpacingControl w:val="doNotCompress"/>
  <w:compat>
    <w:useFELayout/>
  </w:compat>
  <w:rsids>
    <w:rsidRoot w:val="00411E10"/>
    <w:rsid w:val="00411E10"/>
    <w:rsid w:val="004E0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rsid w:val="00411E10"/>
  </w:style>
  <w:style w:type="character" w:customStyle="1" w:styleId="s5">
    <w:name w:val="s5"/>
    <w:basedOn w:val="a0"/>
    <w:rsid w:val="00411E10"/>
  </w:style>
  <w:style w:type="character" w:customStyle="1" w:styleId="s8">
    <w:name w:val="s8"/>
    <w:basedOn w:val="a0"/>
    <w:rsid w:val="00411E10"/>
  </w:style>
  <w:style w:type="character" w:customStyle="1" w:styleId="s10">
    <w:name w:val="s10"/>
    <w:basedOn w:val="a0"/>
    <w:rsid w:val="00411E10"/>
  </w:style>
  <w:style w:type="paragraph" w:styleId="a3">
    <w:name w:val="Body Text"/>
    <w:basedOn w:val="a"/>
    <w:link w:val="a4"/>
    <w:rsid w:val="00411E10"/>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411E10"/>
    <w:rPr>
      <w:rFonts w:ascii="Times New Roman" w:eastAsia="Times New Roman" w:hAnsi="Times New Roman" w:cs="Times New Roman"/>
      <w:sz w:val="24"/>
      <w:szCs w:val="24"/>
      <w:lang w:eastAsia="zh-CN"/>
    </w:rPr>
  </w:style>
  <w:style w:type="paragraph" w:customStyle="1" w:styleId="p3">
    <w:name w:val="p3"/>
    <w:basedOn w:val="a"/>
    <w:rsid w:val="00411E1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4">
    <w:name w:val="p4"/>
    <w:basedOn w:val="a"/>
    <w:rsid w:val="00411E1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9">
    <w:name w:val="p9"/>
    <w:basedOn w:val="a"/>
    <w:rsid w:val="00411E1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24">
    <w:name w:val="p24"/>
    <w:basedOn w:val="a"/>
    <w:rsid w:val="00411E10"/>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Normal (Web)"/>
    <w:aliases w:val="Обычный (Web) Знак Знак Знак,Знак Знак Знак Знак1 Знак,Знак Знак Знак Знак Знак Знак,Обычный (Web) Знак1 Знак,Знак Знак Знак2 Знак,Основной шрифт абзаца Знак Знак Знак,Обычный (Web) Знак Знак1 Знак Знак,Знак Знак Знак Знак2 Знак Зн"/>
    <w:basedOn w:val="a"/>
    <w:uiPriority w:val="99"/>
    <w:rsid w:val="00411E1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1">
    <w:name w:val="p31"/>
    <w:basedOn w:val="a"/>
    <w:rsid w:val="00411E1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Company>rfrap</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2018-04-11T07:27:00Z</dcterms:created>
  <dcterms:modified xsi:type="dcterms:W3CDTF">2018-04-11T07:28:00Z</dcterms:modified>
</cp:coreProperties>
</file>